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7C" w:rsidRDefault="00967F7C" w:rsidP="00CE170B">
      <w:pPr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</w:p>
    <w:p w:rsidR="00CE170B" w:rsidRPr="00CE170B" w:rsidRDefault="00CE170B" w:rsidP="00CE170B">
      <w:pPr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CE170B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Education</w:t>
      </w:r>
    </w:p>
    <w:p w:rsidR="00CE170B" w:rsidRPr="00553C13" w:rsidRDefault="00CE170B" w:rsidP="00CE170B">
      <w:pPr>
        <w:spacing w:line="240" w:lineRule="auto"/>
        <w:ind w:firstLine="720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M.Ch.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ab/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Neurosurgery, August 2008, University of Mumbai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– Gold Medal</w:t>
      </w:r>
    </w:p>
    <w:p w:rsidR="00CE170B" w:rsidRPr="00553C13" w:rsidRDefault="00CE170B" w:rsidP="00CE170B">
      <w:pPr>
        <w:spacing w:line="240" w:lineRule="auto"/>
        <w:ind w:firstLine="720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CE170B" w:rsidRPr="00553C13" w:rsidRDefault="00CE170B" w:rsidP="00CE170B">
      <w:pPr>
        <w:spacing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M.S.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ab/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General Surgery, July 2003, University of Mumbai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- 4th in University</w:t>
      </w:r>
    </w:p>
    <w:p w:rsidR="00CE170B" w:rsidRPr="00553C13" w:rsidRDefault="00CE170B" w:rsidP="00CE170B">
      <w:pPr>
        <w:spacing w:line="240" w:lineRule="auto"/>
        <w:ind w:left="720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CE170B" w:rsidRPr="00553C13" w:rsidRDefault="00CE170B" w:rsidP="00CE170B">
      <w:pPr>
        <w:ind w:left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M.B.B.S.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Bachelor of Medicine and Bachelor of Surgery, October 1997, University of Mumbai</w:t>
      </w:r>
    </w:p>
    <w:p w:rsidR="00CE170B" w:rsidRPr="002A32E0" w:rsidRDefault="00CE170B" w:rsidP="00CE170B">
      <w:pPr>
        <w:ind w:left="720"/>
        <w:jc w:val="both"/>
        <w:rPr>
          <w:rFonts w:asciiTheme="majorHAnsi" w:eastAsia="Times New Roman" w:hAnsiTheme="majorHAnsi" w:cs="Times New Roman"/>
          <w:bCs/>
          <w:color w:val="943634" w:themeColor="accent2" w:themeShade="BF"/>
          <w:sz w:val="28"/>
          <w:szCs w:val="28"/>
        </w:rPr>
      </w:pPr>
    </w:p>
    <w:p w:rsidR="00CE170B" w:rsidRPr="002A32E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Fellowships</w:t>
      </w:r>
    </w:p>
    <w:p w:rsidR="00CE170B" w:rsidRPr="00553C13" w:rsidRDefault="00CE170B" w:rsidP="00CE170B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Fellowship in Endovascular Surgery, Mayo Clinic, Rochester, USA</w:t>
      </w:r>
    </w:p>
    <w:p w:rsidR="00CE170B" w:rsidRPr="00CE170B" w:rsidRDefault="00CE170B" w:rsidP="00CE170B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2A32E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Experience</w:t>
      </w:r>
    </w:p>
    <w:p w:rsidR="00CE170B" w:rsidRPr="00553C13" w:rsidRDefault="00CE170B" w:rsidP="00CE170B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Assistant Professor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, Neurosurgery, Seth G.S. Medical College - </w:t>
      </w:r>
      <w:r w:rsidR="00812A4C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June 2011 till date</w:t>
      </w:r>
    </w:p>
    <w:p w:rsidR="00CE170B" w:rsidRPr="00553C13" w:rsidRDefault="00CE170B" w:rsidP="00CE170B">
      <w:pPr>
        <w:ind w:firstLine="720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and</w:t>
      </w:r>
      <w:proofErr w:type="gram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K.E.M Hospital</w:t>
      </w:r>
    </w:p>
    <w:p w:rsidR="00812A4C" w:rsidRPr="00553C13" w:rsidRDefault="00CE170B" w:rsidP="00CE170B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Tutor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, Neurosurgery, Seth G.S. Medical College and K.E.M</w:t>
      </w:r>
      <w:r w:rsidR="001E1567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="00812A4C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June 2009 - May 2011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cr/>
      </w:r>
      <w:r w:rsidR="00812A4C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Hospital</w:t>
      </w:r>
    </w:p>
    <w:p w:rsidR="00CE170B" w:rsidRPr="00553C13" w:rsidRDefault="00CE170B" w:rsidP="00CE170B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Chief Resident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, Neurosurgery, Seth G.S. Medical College </w:t>
      </w:r>
      <w:r w:rsidR="00812A4C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</w:t>
      </w:r>
      <w:r w:rsidR="001E1567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August 2008 – June 2009</w:t>
      </w:r>
    </w:p>
    <w:p w:rsidR="00CE170B" w:rsidRPr="00553C13" w:rsidRDefault="00CE170B" w:rsidP="00CE170B">
      <w:pPr>
        <w:ind w:left="720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and</w:t>
      </w:r>
      <w:proofErr w:type="gram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K.E.M Hospital   </w:t>
      </w:r>
    </w:p>
    <w:p w:rsidR="00CE170B" w:rsidRPr="00553C13" w:rsidRDefault="00CE170B" w:rsidP="00CE170B">
      <w:pPr>
        <w:pStyle w:val="ListParagraph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Residency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in Neurosurgery, Seth G.S. Medical College </w:t>
      </w:r>
      <w:r w:rsidR="00812A4C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 </w:t>
      </w:r>
      <w:r w:rsidR="008955A4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</w:t>
      </w:r>
      <w:r w:rsidR="001E1567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ugust 2005 - July 2008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cr/>
      </w:r>
      <w:r w:rsidR="00812A4C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and K.E.M  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Hospita</w:t>
      </w:r>
      <w:r w:rsidR="001E1567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l</w:t>
      </w:r>
    </w:p>
    <w:p w:rsidR="00CE170B" w:rsidRPr="00553C13" w:rsidRDefault="00CE170B" w:rsidP="001E1567">
      <w:pPr>
        <w:pStyle w:val="ListParagraph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Residency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 General Sur</w:t>
      </w:r>
      <w:r w:rsidR="001E1567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gery, Bombay Hospital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                 </w:t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</w:t>
      </w:r>
      <w:r w:rsidR="001E1567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May 2000 – July 2003</w:t>
      </w:r>
    </w:p>
    <w:p w:rsidR="00CE170B" w:rsidRPr="00553C13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Institute </w:t>
      </w:r>
      <w:r w:rsidR="001E1567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of Medical Sciences </w:t>
      </w:r>
    </w:p>
    <w:p w:rsidR="00CE170B" w:rsidRPr="00553C13" w:rsidRDefault="00CE170B" w:rsidP="00812A4C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Rural Service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as Medical Officer, Primary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Health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 xml:space="preserve">       </w:t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March 1999 – March 2000</w:t>
      </w:r>
    </w:p>
    <w:p w:rsidR="00CE170B" w:rsidRPr="00553C13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Center, </w:t>
      </w:r>
      <w:proofErr w:type="spellStart"/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Kendur</w:t>
      </w:r>
      <w:proofErr w:type="spellEnd"/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</w:p>
    <w:p w:rsidR="00CE170B" w:rsidRPr="00553C13" w:rsidRDefault="00CE170B" w:rsidP="00812A4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Internship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K.J.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Somaiy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</w:t>
      </w:r>
      <w:proofErr w:type="spellEnd"/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Hospital and Research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 xml:space="preserve">  </w:t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F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ebruary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1998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-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January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1999</w:t>
      </w:r>
    </w:p>
    <w:p w:rsidR="00812A4C" w:rsidRPr="00553C13" w:rsidRDefault="00812A4C" w:rsidP="00812A4C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Centre </w:t>
      </w:r>
    </w:p>
    <w:p w:rsidR="00812A4C" w:rsidRPr="002A32E0" w:rsidRDefault="00812A4C" w:rsidP="00CE170B">
      <w:pPr>
        <w:jc w:val="both"/>
        <w:rPr>
          <w:rFonts w:asciiTheme="majorHAnsi" w:eastAsia="Times New Roman" w:hAnsiTheme="majorHAnsi" w:cs="Times New Roman"/>
          <w:bCs/>
          <w:color w:val="943634" w:themeColor="accent2" w:themeShade="BF"/>
          <w:sz w:val="26"/>
          <w:szCs w:val="26"/>
        </w:rPr>
      </w:pPr>
    </w:p>
    <w:p w:rsidR="00CE170B" w:rsidRPr="002A32E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Publications/Presentations (details attached)</w:t>
      </w:r>
    </w:p>
    <w:p w:rsidR="00CE170B" w:rsidRPr="00553C13" w:rsidRDefault="00CE170B" w:rsidP="00812A4C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Publications in peer reviewed and indexed National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="0052419E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75</w:t>
      </w:r>
    </w:p>
    <w:p w:rsidR="00CE170B" w:rsidRPr="00553C13" w:rsidRDefault="00812A4C" w:rsidP="00812A4C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and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International journals </w:t>
      </w:r>
    </w:p>
    <w:p w:rsidR="00CE170B" w:rsidRPr="00553C13" w:rsidRDefault="00CE170B" w:rsidP="00812A4C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Book Chapters</w:t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10</w:t>
      </w:r>
    </w:p>
    <w:p w:rsidR="00812A4C" w:rsidRPr="00553C13" w:rsidRDefault="00CE170B" w:rsidP="00812A4C">
      <w:pPr>
        <w:pStyle w:val="ListParagraph"/>
        <w:numPr>
          <w:ilvl w:val="0"/>
          <w:numId w:val="13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Presentations in national and international meetings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52419E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60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</w:p>
    <w:p w:rsidR="00CE170B" w:rsidRPr="00553C13" w:rsidRDefault="00CE170B" w:rsidP="00812A4C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4E6704">
      <w:pPr>
        <w:ind w:left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4E6704" w:rsidRDefault="004E6704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553C13" w:rsidRPr="00812A4C" w:rsidRDefault="00553C13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2A32E0" w:rsidRDefault="00CE170B" w:rsidP="00812A4C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Research Experience</w:t>
      </w:r>
    </w:p>
    <w:p w:rsidR="00812A4C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Analysis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Papez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circuit and Limbic system anatomy by white fiber</w:t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5236D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          </w:t>
      </w:r>
      <w:r w:rsidR="00812A4C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2009 - 2010</w:t>
      </w:r>
    </w:p>
    <w:p w:rsidR="00812A4C" w:rsidRPr="00553C13" w:rsidRDefault="00812A4C" w:rsidP="006B3BA0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dissection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techniques</w:t>
      </w:r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Retrospective surgical analysis of 125 cases of Cushing’s disease</w:t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 xml:space="preserve">          </w:t>
      </w:r>
      <w:r w:rsidR="005236D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2006-2007</w:t>
      </w:r>
    </w:p>
    <w:p w:rsidR="00CE170B" w:rsidRPr="00553C13" w:rsidRDefault="00CE170B" w:rsidP="006B3BA0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2A32E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 xml:space="preserve">Awards and </w:t>
      </w:r>
      <w:proofErr w:type="spellStart"/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Honours</w:t>
      </w:r>
      <w:proofErr w:type="spellEnd"/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Vesalius Award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for paper e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ntitled “Management of Basilar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5236D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2016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Invagination- A Historical Perspective” at the </w:t>
      </w: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2016 American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Association of Neurological Surgeons (AANS) Annual Meeting,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lastRenderedPageBreak/>
        <w:t>Chicago, Illinois.</w:t>
      </w:r>
    </w:p>
    <w:p w:rsidR="006B3BA0" w:rsidRPr="00553C13" w:rsidRDefault="006B3BA0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Awarded the </w:t>
      </w: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Spring 2014 Women In Neurosurgery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–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5236D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2014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        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Greg Wilkins- </w:t>
      </w:r>
      <w:proofErr w:type="spellStart"/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Barrick</w:t>
      </w:r>
      <w:proofErr w:type="spellEnd"/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Chair Visiting International 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Surgeon Award at the 2014 American Association of 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Neurological Surgeons (AANS) Annual Meeting,</w:t>
      </w:r>
    </w:p>
    <w:p w:rsidR="00CE170B" w:rsidRPr="00553C13" w:rsidRDefault="00CE170B" w:rsidP="006B3BA0">
      <w:pPr>
        <w:ind w:firstLine="720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San Francisco, California.</w:t>
      </w:r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Awarded </w:t>
      </w: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Young Neurosurgeon Scholarships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to attend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5236D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2007 - 2012</w:t>
      </w:r>
    </w:p>
    <w:p w:rsidR="006B3BA0" w:rsidRPr="00553C13" w:rsidRDefault="006B3BA0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International Conferences in Osaka, Malaysia, Nagoya </w:t>
      </w:r>
    </w:p>
    <w:p w:rsidR="00CE170B" w:rsidRPr="00553C13" w:rsidRDefault="006B3BA0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and</w:t>
      </w:r>
      <w:proofErr w:type="gram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="00CE170B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Boston </w:t>
      </w:r>
    </w:p>
    <w:p w:rsidR="00CE170B" w:rsidRPr="00553C13" w:rsidRDefault="00CE170B" w:rsidP="00CE170B">
      <w:p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  <w:t xml:space="preserve">         </w:t>
      </w:r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Dr. Suresh </w:t>
      </w: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Sadhashiv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Wagh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’ scholarship for securing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5236D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   </w:t>
      </w:r>
      <w:r w:rsidR="009103E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       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August 2008</w:t>
      </w:r>
    </w:p>
    <w:p w:rsidR="006B3BA0" w:rsidRPr="00553C13" w:rsidRDefault="006B3BA0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highest</w:t>
      </w:r>
      <w:proofErr w:type="gramEnd"/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points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in </w:t>
      </w:r>
      <w:r w:rsidR="00CE170B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Neurosurgery examination conducted </w:t>
      </w:r>
    </w:p>
    <w:p w:rsidR="006B3BA0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by</w:t>
      </w:r>
      <w:proofErr w:type="gram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the University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of Mumbai..</w:t>
      </w:r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Dr. </w:t>
      </w: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Dipak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L. Kothari </w:t>
      </w: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Gold Medal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for securing highest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5236D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 </w:t>
      </w:r>
      <w:r w:rsidR="009103E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            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August 2008</w:t>
      </w:r>
    </w:p>
    <w:p w:rsidR="006B3BA0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points</w:t>
      </w:r>
      <w:proofErr w:type="gram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in the M.Ch. Neurosurgery Examination, 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University of Mumbai.</w:t>
      </w:r>
      <w:proofErr w:type="gramEnd"/>
    </w:p>
    <w:p w:rsidR="006B3BA0" w:rsidRPr="00553C13" w:rsidRDefault="006B3BA0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B.Braun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Medical Trust Foundation award for </w:t>
      </w: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outstanding </w:t>
      </w:r>
      <w:r w:rsidR="006B3BA0"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    </w:t>
      </w:r>
      <w:r w:rsidR="005236D0"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   </w:t>
      </w:r>
      <w:r w:rsidR="009103E9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                     </w:t>
      </w:r>
      <w:r w:rsidR="006B3BA0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September 2007</w:t>
      </w:r>
    </w:p>
    <w:p w:rsidR="006B3BA0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Post Graduate studies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in </w:t>
      </w:r>
      <w:r w:rsidRPr="00553C1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Neurosurgery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awarded at </w:t>
      </w:r>
    </w:p>
    <w:p w:rsidR="00CE170B" w:rsidRPr="00553C13" w:rsidRDefault="00CE170B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national</w:t>
      </w:r>
      <w:proofErr w:type="gram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level.</w:t>
      </w:r>
    </w:p>
    <w:p w:rsidR="004E6704" w:rsidRPr="00553C13" w:rsidRDefault="004E6704" w:rsidP="006B3BA0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</w:p>
    <w:p w:rsidR="006B3BA0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Distinctions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 Physiology (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2nd in University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), Pharmacology</w:t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    </w:t>
      </w:r>
      <w:r w:rsidR="008955A4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</w:t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           </w:t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1995 – 1997</w:t>
      </w:r>
    </w:p>
    <w:p w:rsidR="00CE170B" w:rsidRPr="00553C13" w:rsidRDefault="00CE170B" w:rsidP="006B3BA0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and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Microbiology.</w:t>
      </w:r>
    </w:p>
    <w:p w:rsidR="004E6704" w:rsidRPr="006B3BA0" w:rsidRDefault="004E6704" w:rsidP="006B3BA0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Most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moral student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award, final year of school.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B3BA0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1991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</w:p>
    <w:p w:rsidR="00CE170B" w:rsidRPr="006B3BA0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  <w:t xml:space="preserve">                           </w:t>
      </w:r>
    </w:p>
    <w:p w:rsidR="00CE170B" w:rsidRPr="006B3BA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</w:t>
      </w: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Organizational Positions</w:t>
      </w:r>
    </w:p>
    <w:p w:rsidR="00655D39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8th K.E.M Live Operative Neurosurgery Workshop and Symposium – </w:t>
      </w:r>
      <w:r w:rsidR="00655D39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  <w:t>2017</w:t>
      </w:r>
    </w:p>
    <w:p w:rsidR="00CE170B" w:rsidRPr="00553C13" w:rsidRDefault="00CE170B" w:rsidP="00655D39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Organizing Secretary</w:t>
      </w:r>
    </w:p>
    <w:p w:rsidR="00655D39" w:rsidRPr="00553C13" w:rsidRDefault="00CE170B" w:rsidP="006B3BA0">
      <w:pPr>
        <w:pStyle w:val="ListParagraph"/>
        <w:numPr>
          <w:ilvl w:val="0"/>
          <w:numId w:val="14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12th Asia </w:t>
      </w: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Oceanian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International Skull Base Conference, Mumbai – </w:t>
      </w:r>
      <w:r w:rsidR="00655D39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 </w:t>
      </w:r>
      <w:r w:rsidR="00655D39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  <w:t xml:space="preserve"> 2015</w:t>
      </w:r>
    </w:p>
    <w:p w:rsidR="00CE170B" w:rsidRPr="00553C13" w:rsidRDefault="00CE170B" w:rsidP="00655D39">
      <w:pPr>
        <w:pStyle w:val="ListParagraph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Conference Coordinator</w:t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</w: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ab/>
        <w:t xml:space="preserve"> </w:t>
      </w:r>
    </w:p>
    <w:p w:rsidR="00CE170B" w:rsidRPr="00553C13" w:rsidRDefault="00CE170B" w:rsidP="00655D39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6th Indo-Japan Friendship Meeting, Aurangabad – Organizing Secretary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2014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 xml:space="preserve">                                 </w:t>
      </w:r>
    </w:p>
    <w:p w:rsidR="00655D39" w:rsidRPr="00553C13" w:rsidRDefault="00CE170B" w:rsidP="00655D39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Neurocon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2013, Annual Conference of the Neurosurgical Society of India</w:t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>2013</w:t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</w:p>
    <w:p w:rsidR="00CE170B" w:rsidRPr="00553C13" w:rsidRDefault="00CE170B" w:rsidP="00655D39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10th Annual Meeting of the Asian Society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Neurooncology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ASNO</w:t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>2012</w:t>
      </w:r>
    </w:p>
    <w:p w:rsidR="00CE170B" w:rsidRPr="00553C13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</w:p>
    <w:p w:rsidR="00CE170B" w:rsidRPr="00553C13" w:rsidRDefault="00CE170B" w:rsidP="00655D39">
      <w:pPr>
        <w:pStyle w:val="ListParagraph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10th Annual Conference of the Skull Base Surgery Society of India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>2008</w:t>
      </w:r>
    </w:p>
    <w:p w:rsidR="00655D39" w:rsidRPr="00655D39" w:rsidRDefault="00655D39" w:rsidP="00655D39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655D39" w:rsidRPr="00655D39" w:rsidRDefault="00655D39" w:rsidP="00655D39">
      <w:pPr>
        <w:pStyle w:val="ListParagraph"/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</w:p>
    <w:p w:rsidR="00CE170B" w:rsidRPr="002A32E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Affiliations/Memberships</w:t>
      </w:r>
    </w:p>
    <w:p w:rsidR="00CE170B" w:rsidRPr="00553C13" w:rsidRDefault="00CE170B" w:rsidP="00655D39">
      <w:pPr>
        <w:pStyle w:val="ListParagraph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American Association of Neurological Surgeons – International Member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2014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</w:p>
    <w:p w:rsidR="00655D39" w:rsidRPr="00553C13" w:rsidRDefault="00CE170B" w:rsidP="00655D39">
      <w:pPr>
        <w:pStyle w:val="ListParagraph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Skull Base Surgery Society of India</w:t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>2008</w:t>
      </w:r>
    </w:p>
    <w:p w:rsidR="00CE170B" w:rsidRPr="00553C13" w:rsidRDefault="00CE170B" w:rsidP="00655D39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655D39" w:rsidRPr="00553C13" w:rsidRDefault="00CE170B" w:rsidP="00655D39">
      <w:pPr>
        <w:pStyle w:val="ListParagraph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Bombay Neurosciences Association</w:t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2008</w:t>
      </w:r>
    </w:p>
    <w:p w:rsidR="00CE170B" w:rsidRPr="00553C13" w:rsidRDefault="00CE170B" w:rsidP="00655D39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655D39" w:rsidRPr="00553C13" w:rsidRDefault="00CE170B" w:rsidP="00655D39">
      <w:pPr>
        <w:pStyle w:val="ListParagraph"/>
        <w:numPr>
          <w:ilvl w:val="0"/>
          <w:numId w:val="15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lastRenderedPageBreak/>
        <w:t>Neurological Society of India</w:t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9103E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655D39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2005</w:t>
      </w:r>
    </w:p>
    <w:p w:rsidR="00CE170B" w:rsidRPr="00553C13" w:rsidRDefault="00CE170B" w:rsidP="00655D39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2A32E0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2A32E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Interests</w:t>
      </w:r>
    </w:p>
    <w:p w:rsidR="00655D39" w:rsidRPr="00655D39" w:rsidRDefault="00655D39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</w:p>
    <w:p w:rsidR="00CE170B" w:rsidRPr="00553C13" w:rsidRDefault="00CE170B" w:rsidP="00655D39">
      <w:pPr>
        <w:pStyle w:val="ListParagraph"/>
        <w:numPr>
          <w:ilvl w:val="0"/>
          <w:numId w:val="16"/>
        </w:num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Skull Base Neurosurgery, Vascular Neurosurgery (Open and Endovascular), </w:t>
      </w: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Junction surgery, </w:t>
      </w:r>
      <w:proofErr w:type="spellStart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Neurooncology</w:t>
      </w:r>
      <w:proofErr w:type="spellEnd"/>
      <w:r w:rsidRPr="00553C1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(Awake surgery, brain mapping and intra-operative monitoring)</w:t>
      </w:r>
    </w:p>
    <w:p w:rsidR="00655D39" w:rsidRPr="00553C13" w:rsidRDefault="00655D39" w:rsidP="00CE170B">
      <w:pPr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</w:p>
    <w:p w:rsidR="00CE170B" w:rsidRPr="00655D39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655D39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Editorial Positions</w:t>
      </w:r>
    </w:p>
    <w:p w:rsidR="00CE170B" w:rsidRPr="00553C13" w:rsidRDefault="00CE170B" w:rsidP="00655D39">
      <w:pPr>
        <w:pStyle w:val="ListParagraph"/>
        <w:numPr>
          <w:ilvl w:val="0"/>
          <w:numId w:val="16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Associate Editor – Journal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and Spine</w:t>
      </w:r>
    </w:p>
    <w:p w:rsidR="00655D39" w:rsidRPr="006B3BA0" w:rsidRDefault="00655D39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655D39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655D39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References</w:t>
      </w:r>
    </w:p>
    <w:p w:rsidR="00CE170B" w:rsidRPr="006B3BA0" w:rsidRDefault="00CE170B" w:rsidP="00655D39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Prof. </w:t>
      </w:r>
      <w:proofErr w:type="spellStart"/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Atul</w:t>
      </w:r>
      <w:proofErr w:type="spellEnd"/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Goel</w:t>
      </w:r>
      <w:proofErr w:type="spellEnd"/>
    </w:p>
    <w:p w:rsidR="00CE170B" w:rsidRPr="006B3BA0" w:rsidRDefault="00CE170B" w:rsidP="00655D39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Head of Department, Department of Neurosurgery,</w:t>
      </w:r>
    </w:p>
    <w:p w:rsidR="00CE170B" w:rsidRPr="006B3BA0" w:rsidRDefault="00CE170B" w:rsidP="00655D39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Seth G.S. Medical College and K.E.M Hospital</w:t>
      </w:r>
    </w:p>
    <w:p w:rsidR="00CE170B" w:rsidRPr="006B3BA0" w:rsidRDefault="00CE170B" w:rsidP="00655D39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proofErr w:type="spellStart"/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Parel</w:t>
      </w:r>
      <w:proofErr w:type="spellEnd"/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, Mumbai – 400012</w:t>
      </w:r>
    </w:p>
    <w:p w:rsidR="00CE170B" w:rsidRPr="006B3BA0" w:rsidRDefault="00CE170B" w:rsidP="00655D39">
      <w:pPr>
        <w:ind w:firstLine="720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6B3BA0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atulgoel62@hotmail.com</w:t>
      </w:r>
    </w:p>
    <w:p w:rsidR="00CE170B" w:rsidRPr="00655D39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655D39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List of Publications:</w:t>
      </w:r>
    </w:p>
    <w:p w:rsidR="00CE170B" w:rsidRPr="00CE170B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Jankharia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B,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Three-dimensional model printing for surgery on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arteriovenous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India. 2017 Nov. Dec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;65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(6):1350-1354.</w:t>
      </w:r>
    </w:p>
    <w:p w:rsidR="00655D39" w:rsidRPr="00553C13" w:rsidRDefault="00655D39" w:rsidP="00655D39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Corpus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callosal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lipoma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extending as nasal</w:t>
      </w:r>
    </w:p>
    <w:p w:rsidR="00CE170B" w:rsidRPr="00553C13" w:rsidRDefault="00CE170B" w:rsidP="00655D39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encephalocoel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/cranial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lipomeningocoel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Neurosci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2017 Nov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;45:157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-159. </w:t>
      </w:r>
    </w:p>
    <w:p w:rsidR="00BE73C5" w:rsidRPr="00553C13" w:rsidRDefault="00BE73C5" w:rsidP="00655D39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Aneurysm Surgery: Technique and Technology.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2017 May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;101:771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-772.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The three-dimensional difference: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unveiled.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Spine. 2017 Jan-Mar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(1):3-4.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Bansal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P, Lila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Goroshi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Jadhav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Lomte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Thakkar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K,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Sankhe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Jaguste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Bandgar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Shah N. Duration of post-operative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hypocortisolism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predicts sustained remission after pituitary surgery for Cushing's disease.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Endocr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Connect. 2017 Nov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;6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(8):625-636.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Ranjan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Gore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Dharurkar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Subtemporal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"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Interdural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" Surgical Approach for "Giant" Facial Nerve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Neurinomas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;110:e835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-e841.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Jain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Gore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Dharurkar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Arteriovenous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Fistula: A Brief Review and Report of 14 Surgically Treated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;110:e873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-e881.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Gore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Dharurkar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Vutha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Patil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Fixation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Chiari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1 Formation in Pediatric Age-Group Patients: Report of Treatment in 33 Patients.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Mar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;111:e668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-e677.</w:t>
      </w:r>
    </w:p>
    <w:p w:rsidR="00BE73C5" w:rsidRPr="00553C13" w:rsidRDefault="00CE170B" w:rsidP="00BE73C5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Kaswa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Jain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instability associated with pan cervical vertebral fusion: Report on management of 4 cases.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India. 2018 Jan-Feb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;66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(1):147-150.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BE73C5" w:rsidRPr="00553C13" w:rsidRDefault="00CE170B" w:rsidP="00BE73C5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AH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Elsanafiry</w:t>
      </w:r>
      <w:proofErr w:type="spellEnd"/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MSM,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Chiari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malformation: Has the dilemma ended?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Spine. 2017 Oct-Dec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(4):297-304.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Dharurkar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Gore S, More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Ranjan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S. Only spinal fixation as treatment of prolapsed cervical intervertebral disc in patients presenting with myelopathy.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Spine. 2017 Oct-Dec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(4):305-310.</w:t>
      </w:r>
    </w:p>
    <w:p w:rsidR="00BE73C5" w:rsidRPr="00EC2272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Jain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Radiological Evaluation of 510 Cases of Basilar Invagination with Evidence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Instability (Group A Basilar Invagination).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;110:533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-543.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Jain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Patil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Vutha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Ranjan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More 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Fixation for Odontoid Fracture: Analysis of 124 Surgically Treated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;110:558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-567.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Kaswa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Gore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Dharurkar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Extraspinal-Interdural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Surgical Approach for C2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Neurinomas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-Report of an Experience with 50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;110:575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-582.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Prasad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More S. C1-2 and C2-3 Instability in the Presence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Hypoplastic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Posterior Elements of C2 Vertebra: Report of 2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2018 Feb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;110:604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-608.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Jain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Kaswa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Immediate Postoperative Disappearance of Retro-Odontoid "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Pseudotumor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".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2016 Jul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;91:419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-23. 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Jankharia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B,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Sathe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P. Three-dimensional models: an emerging investigational revolution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surgery.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Spine. 2016 Dec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;25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(6):740-744.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Migration of a lateral ventricular choroid plexus papilloma: An uncommon occurrence.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India. 2016 Jul-Aug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;64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(4):817-8.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Ramdasi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R. Immediate Postoperative Reversal of Disc Herniation Following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Facetal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Distraction-Fixation Surgery: Report of 4 Cases.</w:t>
      </w:r>
      <w:r w:rsidR="0021207E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2016 Oct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;94:339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-344.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Sathe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Patil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M. Radiologic Evaluation of Basilar Invagination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Without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Obvious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Instability (Group B Basilar Invagination): Analysis Based on a Study of 75 Patients.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2016 Nov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;95:375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-382.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Sathe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Fixation for Basilar Invagination</w:t>
      </w:r>
    </w:p>
    <w:p w:rsidR="00CE170B" w:rsidRPr="00553C13" w:rsidRDefault="00CE170B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without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Obvious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Instability (Group B Basilar Invagination): Outcome  Analysis of 63 Surgically Treated Cases.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2017 Mar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;99:164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-170.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Multilevel Spinal Stabilization as a Treatment for Hirayama Disease: Report of an Experience with Five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2017  Mar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;99:186-191. </w:t>
      </w:r>
    </w:p>
    <w:p w:rsidR="00BE73C5" w:rsidRPr="00EC2272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Sathe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Patil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Treatment of "idiopathic" syrinx by</w:t>
      </w:r>
    </w:p>
    <w:p w:rsidR="00CE170B" w:rsidRPr="00553C13" w:rsidRDefault="00CE170B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fixation: Report of an experience with nine cases.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Spine.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2017 Jan-Mar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(1):15-21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Kaswa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Role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Subaxial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Spinal Instability in Pathogenesis of Spinal "Degeneration"-Related Cervical Kyphosis.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2017 May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;101:702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-709.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Vutha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Sankhe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Transventricular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Migration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Neurocysticercosis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2017 Sep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;105:1043.e11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-1043.e13.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Kaswa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Multilevel Spinal Segmental Fixation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Kyphotic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Cervical Spinal Deformity in Pediatric Age Group-Report of Management in 2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2017 Oct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;106:661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-665.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Jain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Management of a case of neglected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rotatory dislocation.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India. 2017 Sep-Oct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;65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(5):1170-1173.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Jhawar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Letter to the Editor: Optic radiations and anterior commissure.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2015 Jul 31-3.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Use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indocyanine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green as an adjunct for insular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glioma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surgery.Asian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Journal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(Accepted awaiting publication)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Makiyah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Sylvian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fissure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epidermoid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cyst presenting with intention tremor. Asian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2015. 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Rangarajan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V,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Successful management of a cervical fracture in a patient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ankylosing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spondylitis by a posterior approach.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Spine. 2015; 6 (4): 227-229.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SK,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Rangarajan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V,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Corpus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callosal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lipoma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extracranial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extension as a scalp swelling.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India. 2015 Sep-Oct;63(5):796-7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Rangarajan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V,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Kulkarni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Is only stabilization an ideal treatment of OPLL? Report of early results with a preliminary experience with 14 cases. World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2015 May 21.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Ramdasi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N. Bifid Anterior and posterior arches of atlas: surgical implication and analysis of 70 cases. Neurosurgery 2015. April 7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Morphometric analysis of the cervical facets and the feasibility, safety and effectiveness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inter-facet spacer distraction technique. 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 2014; 5 (1):9-14.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Ramdasi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Goel’s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Teflon sponge internal shunt for anterior spinal arachnoid cyst.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 2014; 5 (2); 88-9.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</w:t>
      </w:r>
      <w:r w:rsidR="00BE73C5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 Progression in size of an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arteriovenous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malformation, a case report. Asian Journal of Neurosurgery (Accepted awaiting publication)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Kothari 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Fluidity of the body.  Asian Journal of Neurosurgery (Accepted awaiting publication)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Ramdasi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Patni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NOrbital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cortical approach to lesions around the frontal horn of the lateral ventricle: Indications and surgical parameters.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ActaNeurochirurgica</w:t>
      </w:r>
      <w:proofErr w:type="spellEnd"/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Jadhav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SDistraction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of facets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intraarticular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spacers as treatment for lumbar canal stenosis: report on a preliminary experience with 21 cases.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 2013; 19 (6):672-7.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Mahore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A.Bilateral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vasculopexy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of anomalous vertebral arteries causing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cervicomedullary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compression: case report and technical note.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Eur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 J. 2012; 21 (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Supp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4):S505-8.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A,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Jhawar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AAnalysis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of the anatomy of 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Papez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circuit and adjoining limbic system by fiber dissection techniques..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Neurosciences 2012; 19(2):289-98.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Deshpande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Kumar R, Sharma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Dange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Medulloblastoma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 childhood – King Edward Memorial Hospital surgical experience and review: Comparative analysis of the case series of 365 patients.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PediatrNeurosci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2011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;6:S78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-85.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Kothari 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Gaikwad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Dhande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PL. Comparative quantitative analysis of osseous anatomy of 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of tiger, horse, deer and humans.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Spine 2011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;2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(1):32-7.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r w:rsidR="00BE73C5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Facetal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distraction as a treatment for single and multilevel cervical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spondylotic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myelopathy J.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Spine. June 2011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Redhu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Supratentorial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glioblastoma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multiforme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with spinal metastasis. Journal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and Spine 2010; 1:22: 131 – 134.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Rakesh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Jadhav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Spontaneous tension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pneumocephalus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 a case of subdural empyema.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Neurosciences 2011; 18 (8):1123-4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‘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Interdural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’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oculomotorneurinoma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: report of two surgically treated cases.</w:t>
      </w:r>
      <w:r w:rsidR="0021207E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ActaNeurochir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(Wien). 2010; 152(10):1721-4. 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.: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Verticalatlantoaxial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dislocation as a cause of failure of midline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fixation.J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ClinNeurosci.2010; 17(10):1345-6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  <w:r w:rsidR="00BE73C5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facet locking: treatment by facet manipulation and fixation. Experience in 14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casesJNeurosurg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Spine.2011; 14 (1): 3-9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Goal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Shah </w:t>
      </w:r>
      <w:proofErr w:type="gramStart"/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A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Gupta 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instability due to degenerative osteoarthritis of 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joints: analysis of management of 108 cases.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Spine. 2010; 12 (5):592-601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Figueredo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Maheshwari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manual realignment in a patient with traumatic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joint disruption. J.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ClinNeurosci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2010; 17(5):672-3.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Mahore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Craniofrontonasal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dysplasia associated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Chiari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NeurosurgPed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2010; 5(4):375-9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="00BE73C5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"Lateral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Supracerebellartranstentorial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approach to middle fossa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epidermoidtumor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."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JClinNeurosci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2010; 17(3):372-3.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N. A case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cerebellopontine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angle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epidermoid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tumor and brainstem squamous cell carcinoma presenting as collision tumor.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ActaNeurochir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(Wien) 2010; 152(6):1087-8.</w:t>
      </w:r>
    </w:p>
    <w:p w:rsidR="00BE73C5" w:rsidRPr="00EC2272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Unilateral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atlantalfacetal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hypertrophy. J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ClinNeurosci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2010; 17(6): 806-8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GoelA.Circumferentialcraniocervical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extradural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tuberculous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granulations: a case report</w:t>
      </w:r>
      <w:r w:rsidR="0023771E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Journal of Clinical Neuroscience. 2010; 17(6):808-9.</w:t>
      </w:r>
    </w:p>
    <w:p w:rsidR="00CE170B" w:rsidRDefault="00CE170B" w:rsidP="00F329B0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 Fulminant fatal meningitis following partial resection of an endodermal cyst.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ActaNeurochir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(Wien) 2010; 152(4):729-30.</w:t>
      </w:r>
    </w:p>
    <w:p w:rsidR="00BE73C5" w:rsidRPr="00553C13" w:rsidRDefault="00BE73C5" w:rsidP="00BE73C5">
      <w:pPr>
        <w:pStyle w:val="ListParagraph"/>
        <w:ind w:left="540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23771E" w:rsidP="0023771E">
      <w:pPr>
        <w:pStyle w:val="ListParagraph"/>
        <w:numPr>
          <w:ilvl w:val="0"/>
          <w:numId w:val="17"/>
        </w:numPr>
        <w:tabs>
          <w:tab w:val="left" w:pos="540"/>
        </w:tabs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="00CE170B"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Jhawar</w:t>
      </w:r>
      <w:proofErr w:type="spellEnd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SS, </w:t>
      </w:r>
      <w:proofErr w:type="spellStart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GoelNK.Fluid</w:t>
      </w:r>
      <w:proofErr w:type="spellEnd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-fluid level in pituitary tumors: analysis of management </w:t>
      </w:r>
      <w:proofErr w:type="gramStart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of 106 </w:t>
      </w:r>
      <w:proofErr w:type="spellStart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cases.J</w:t>
      </w:r>
      <w:proofErr w:type="spellEnd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proofErr w:type="gramEnd"/>
      <w:r w:rsidR="00CE170B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2010; 112(6):1341-6.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Shah </w:t>
      </w:r>
      <w:proofErr w:type="gramStart"/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A</w:t>
      </w:r>
      <w:r w:rsidR="003A666E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.‘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Lateral’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dislocation in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region </w:t>
      </w:r>
      <w:r w:rsidR="0023771E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tuberculosis: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Report of a case and analysis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treatmentActaNeurochirurgica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2010; 152(4):709-12. 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GoelAClivaldysgenesis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associated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Chiari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 and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syringomyelia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Journal of Clinical Neuroscience. 2010; 17(3):400-1.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Shah </w:t>
      </w:r>
      <w:proofErr w:type="spellStart"/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.Unusual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bone formation in the anterior rim of foramen magnum: cause, effect and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treatment.Eur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 J. 2009 Dec 24.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Kansal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GoelA.Anintradural-extramedullary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gas-forming spinal abscess in a patient with diabetes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mellitus.J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ClinNeurosci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2009; 17(2):263-5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D, </w:t>
      </w:r>
      <w:proofErr w:type="spellStart"/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Chagla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A.Trigeminal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neurinomas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extracranial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extension: analysis of 28 surgically treated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cases.J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2010; 113(5)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;1079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-84.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Trigeminal neuralgia in the presence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ectatic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basilar artery and basilar invagination: treatment by foramen magnum decompression J.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2009; 111(6)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;1220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-2.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RajanS.Vertical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mobile and reducible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dislocation.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Clinincal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Article. J.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 2009 11 (1) 9 – 14.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Reversal of longstanding musculoskeletal changes in basilar invagination after surgical decompression and stabilization J.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Spine. 2009 10(3): 220-7.</w:t>
      </w:r>
    </w:p>
    <w:p w:rsidR="00BE73C5" w:rsidRPr="00553C13" w:rsidRDefault="00BE73C5" w:rsidP="00BE73C5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joint distraction as a treatment for basilar invagination: A report of an experience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with 11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cases.Neurology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April – June 2008; (56): 2: 144-150.</w:t>
      </w:r>
    </w:p>
    <w:p w:rsidR="00BE73C5" w:rsidRPr="00553C13" w:rsidRDefault="00BE73C5" w:rsidP="00BE73C5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RK. Unilateral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mass hypertrophy in acromegaly. Case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ReportJournal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of Neurosurgery: Spine. Sep. 2008; (9): 3: 277 – 280. </w:t>
      </w:r>
    </w:p>
    <w:p w:rsidR="003A666E" w:rsidRPr="00553C13" w:rsidRDefault="003A666E" w:rsidP="003A666E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Cushing’s disease presenting as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intracerebral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bleed. Neurology India. 2008 56(4): 490-1</w:t>
      </w:r>
    </w:p>
    <w:p w:rsidR="003A666E" w:rsidRPr="00553C13" w:rsidRDefault="003A666E" w:rsidP="003A666E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RK,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Rajshekaran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P. Primary intracranial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myxoma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of the parietal region. Illustrated case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report.J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Neurooncol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June 2008; (2): 157-60.</w:t>
      </w:r>
    </w:p>
    <w:p w:rsidR="003A666E" w:rsidRPr="00553C13" w:rsidRDefault="003A666E" w:rsidP="003A666E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Pujari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V,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Jimbo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H, 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Dange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Singh 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A.Fiber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dissection of the visual pathways. Analysis of the relationship of optic radiations to lateral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ventricle :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 cadaveric study. Neurology India. April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-  June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2008; (56):2: 133-137.</w:t>
      </w:r>
    </w:p>
    <w:p w:rsidR="003A666E" w:rsidRPr="00553C13" w:rsidRDefault="003A666E" w:rsidP="003A666E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TD,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RK,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Chudley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McCullough Syndrome - A Case Report and review of literature. Child’s Nervous system. May 2008; 24 (5): 541 – 4.</w:t>
      </w:r>
    </w:p>
    <w:p w:rsidR="003A666E" w:rsidRPr="00553C13" w:rsidRDefault="003A666E" w:rsidP="003A666E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3A666E" w:rsidRPr="00553C13" w:rsidRDefault="003A666E" w:rsidP="003A666E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RK,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ABlood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– Fluid Level in cortical venous thrombosis. Surgical Neurology. Jan 2009; 71 91):111-4. </w:t>
      </w: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Pareikh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 Teflon Sponge Shunt for recurrent arachnoid cyst. Neurology India. October-December 2007; 55:4.</w:t>
      </w:r>
    </w:p>
    <w:p w:rsidR="003A666E" w:rsidRPr="00553C13" w:rsidRDefault="003A666E" w:rsidP="003A666E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RK,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GlioblastomaMultiforme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following cranial irradiation and chemotherapy for acute Lymphocytic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Leukaemia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– Report of 3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casesOriginal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Paper.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Paediatric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Neurosurgery, 2007; 43: 369 – 374.</w:t>
      </w:r>
    </w:p>
    <w:p w:rsidR="003A666E" w:rsidRPr="00553C13" w:rsidRDefault="003A666E" w:rsidP="003A666E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3A666E" w:rsidRPr="00553C13" w:rsidRDefault="003A666E" w:rsidP="003A666E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655D39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Vishwanathan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R, </w:t>
      </w:r>
      <w:r w:rsidRPr="00553C13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Shah A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Nagori</w:t>
      </w:r>
      <w:proofErr w:type="spellEnd"/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LF,  Gupta MK. Salmonella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Typhi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 breast abscess – A Case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ReportBombay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Hospital Journal. July 2003; 45; 3, 452-453.</w:t>
      </w:r>
    </w:p>
    <w:p w:rsidR="003A666E" w:rsidRPr="00553C13" w:rsidRDefault="003A666E" w:rsidP="003A666E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EC2272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6"/>
          <w:szCs w:val="26"/>
        </w:rPr>
      </w:pPr>
      <w:r w:rsidRPr="00EC2272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6"/>
          <w:szCs w:val="26"/>
        </w:rPr>
        <w:t>Book Chapters:</w:t>
      </w:r>
    </w:p>
    <w:p w:rsidR="003A666E" w:rsidRPr="00553C13" w:rsidRDefault="003A666E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4"/>
          <w:szCs w:val="24"/>
        </w:rPr>
      </w:pPr>
    </w:p>
    <w:p w:rsidR="00CE170B" w:rsidRPr="00553C13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Junction: Diagnosis, Pathology, Surgical Technique.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EdsGoel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Cacciola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F.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Thieme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publications.</w:t>
      </w:r>
    </w:p>
    <w:p w:rsidR="00EC2272" w:rsidRPr="00553C13" w:rsidRDefault="00EC2272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Chapters</w:t>
      </w: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</w:p>
    <w:p w:rsidR="00EC2272" w:rsidRPr="00EC2272" w:rsidRDefault="00EC2272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Comparative quantitative analysis of osseous anatomy of 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of Tiger, Horse, Deer, Bird, and Human. Quantitative Anatomy of the lateral masses of the atlas and axis vertebrae.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Santosh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Gaikwad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Prakash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Dhande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Manu Kothari.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Quantitative Anatomy of the lateral masses of the atlas and axis ver</w:t>
      </w:r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tebrae. </w:t>
      </w:r>
      <w:proofErr w:type="spellStart"/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Radiologic Investigations.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Meher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Ursekar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DarshanaSanghvi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Nishigandha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Barute</w:t>
      </w:r>
      <w:proofErr w:type="spellEnd"/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Vertical mobile and reducible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dislocation.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Musculoskeletal changes in basilar invagination.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Rotatory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dislocation.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ShradhaMaheshwari</w:t>
      </w:r>
      <w:proofErr w:type="spellEnd"/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joint degenerative arthritis and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instability.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Sanjay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Rajan</w:t>
      </w:r>
      <w:proofErr w:type="spellEnd"/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Pathogenesis of Tuberculosis of 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junction: its implication in surgical management.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Naina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Kataria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Osodontoideum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Sukhdeep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Singh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Jhawar</w:t>
      </w:r>
      <w:proofErr w:type="spellEnd"/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Anomalies in posterior spinal segments of the axis.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</w:t>
      </w:r>
    </w:p>
    <w:p w:rsidR="00CE170B" w:rsidRPr="00CE170B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</w:p>
    <w:p w:rsidR="00CE170B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proofErr w:type="gramStart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Essential Practice of </w:t>
      </w:r>
      <w:proofErr w:type="spellStart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Neurosurgrey</w:t>
      </w:r>
      <w:proofErr w:type="spellEnd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EdsKalungo</w:t>
      </w:r>
      <w:proofErr w:type="spellEnd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 K, Kato Y, </w:t>
      </w:r>
      <w:proofErr w:type="spellStart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Dechambenoit</w:t>
      </w:r>
      <w:proofErr w:type="spellEnd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 G, Nagoya, Japan, Access Publishing Company.</w:t>
      </w:r>
      <w:proofErr w:type="gramEnd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 2009.</w:t>
      </w:r>
    </w:p>
    <w:p w:rsidR="00EC2272" w:rsidRPr="00EC2272" w:rsidRDefault="00EC2272" w:rsidP="00CE170B">
      <w:pPr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</w:p>
    <w:p w:rsidR="00CE170B" w:rsidRPr="00CE170B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  <w:proofErr w:type="gramStart"/>
      <w:r w:rsidRPr="00EC227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Chapter</w:t>
      </w:r>
      <w:r w:rsidRPr="00CE170B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  <w:t xml:space="preserve"> Treatment for </w:t>
      </w:r>
      <w:proofErr w:type="spellStart"/>
      <w:r w:rsidRPr="00CE170B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  <w:t>Craniovertebral</w:t>
      </w:r>
      <w:proofErr w:type="spellEnd"/>
      <w:r w:rsidRPr="00CE170B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  <w:t xml:space="preserve"> instability.</w:t>
      </w:r>
      <w:proofErr w:type="gramEnd"/>
    </w:p>
    <w:p w:rsidR="009103E9" w:rsidRPr="00CE170B" w:rsidRDefault="009103E9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</w:p>
    <w:p w:rsidR="00CE170B" w:rsidRPr="00EC2272" w:rsidRDefault="00CE170B" w:rsidP="00CE170B">
      <w:pPr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</w:pPr>
      <w:r w:rsidRPr="00EC2272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8"/>
          <w:szCs w:val="28"/>
        </w:rPr>
        <w:t>List of Presentations:</w:t>
      </w:r>
    </w:p>
    <w:p w:rsidR="00CE170B" w:rsidRPr="00CE170B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Posterior Fossa Endodermal cysts causing fatal aseptic meningitis.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Ramkumar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D. P.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Bombay Neurosciences Association. Clinical Meeting. November, 2006.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Cushing’s disease – Surgical Analysis of 118 treated cases over 14 years.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Neurocon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2006, Madurai, 55th Annual Conference of Neurological Society of India. December, 2006.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Glioblastoma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Multiforme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 Acute Lymphoblastic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Leukaemia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Ramkumar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Menon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D.P.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Bombay Neurosciences Association. Clinical Meeting. December 2006.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Endodermal cysts anterior and anterolateral to the brainstem.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13th WFNS Interim and 12th AACNS Meet</w:t>
      </w:r>
      <w:r w:rsidR="00EC2272"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Nagoya, Japan. November, 2007.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Surgical strategy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Tuberculum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Sellae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meningioma.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 13th WFNS Interim and 12th AACNS Meet. Nagoya, Japan. November, 2007.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Cushing’s disease – Surgical Analysis of 125 cases.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13th WFNS Interim and 12th AACNS Meet. Nagoya, Japan. November, 2007.</w:t>
      </w: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High Cervical Disc Prolapse with Basilar invagination.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A.H.Goel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Bombay Neurosciences Association. Clinical Meeting. February 2008.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Endodermal Cysts. A report of 10 cases.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A.H.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10th Annual Conference of Skull Base Surgery Society of India. October 2008.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Fiber dissection of the optic pathways and analysis of its surgical implications.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Prof.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14th WFNS meeting, Boston, Massachusetts, USA. August 2009.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Management issues and analysis of surgical treatment of 298 cases of cranial and spinal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epidermoid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tumors over a 20 year period.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A.Goel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A.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Chagla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T.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Nadkarni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D.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Muzumdar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14th WFNS meeting, Boston, Massachusetts, USA. August 2009.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White fiber dissection and analysis of its functional significance and surgical implications.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Sukhdeep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Singh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Jhawar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 8th Asian Congress of Neurological Surgeons, November 22 – 24, 2010, Kuala Lumpur, Malaysia. (Nominated for Young Neurosurgeons Award)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Neuronavigation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and Fiber tracking.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. NEUROCON 2010, December 2010, Jaipur.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High flow bypass for growing giant aneurysms.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Annual Conference, Bombay Neurosciences Association, April 2011.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Papez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circuit and adjoining limbic system – An analysis by fiber dissection technique,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Sukhdeep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Jhawar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NEUROCON 2011, December 2011, Bengaluru.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Anterior Tentorium based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epidermoid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tumors.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6th International Congress of the World Federation of Skull Base Societies and 10th European Skull Base Society Congress, 16-19 May, 2012, Brighton, UK. </w:t>
      </w: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Cushing’s disease – Analysis of 240 cases,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Nalini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Annual Conference of Skull Base Society of India, Mumbai, 2012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High Flow radial artery bypass as treatment of ‘growing’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gisnt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aneurysms, Joint Meeting of the 12th Annual Conference of Indian Society of Cerebrovascular surgery and Cerebrovascular Section of AANS and CNS, USA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Neurovascon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Mumbai, 2012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Endodermal cysts – anterior and anterolateral to the brainstem: report of an experience with 14 cases,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Neurocon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2012, Gurgaon, Delhi. 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Papez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Circuit and adjoining Limbic system – An analysis of anatomy by fiber dissection technique, 5th Japan –India Neurosurgical Conference and post-conference education program, Osaka, Japan, November 2012. 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White Fiber Dissection and analysis of its surgical implications.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Sukhdeep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Jhaar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,  10th Annual Meeting of the Asian Society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Neurooncology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ASNO , Mumbai, 2013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Trigeminal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neurinomas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extracranial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extension: Analysis on 27 surgically treated cases.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NSICON 2013, Mumbai.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Orbital cortical approach to lesions around the frontal horn. 2014 American Association of Neurological Surgeons (AANS) Annual Meeting, San Francisco, California.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Trigeminal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neurinomas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with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extracranial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extension: Analysis on 27 surgically treated cases.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Abhidha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Shah,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Atul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Goel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April 2014, Fukuoka, Japan.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Orbital cortical approach to lesions around the frontal horn. 6th Indo –Japan Friendship meeting, August 2014, Aurangabad, India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Use of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indocyanine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green as an aid in resection of insular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gliomas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. NSICON 2014,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Coimbature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India</w:t>
      </w: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Orbital cortical approach to lesions around the frontal horn. NSICON 2015, Hyderabad, India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White fibers of the Brain – Surgical Implications. State of Art – Indian Neurosurgery, April 2016, </w:t>
      </w:r>
      <w:proofErr w:type="gram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Mumbai ,</w:t>
      </w:r>
      <w:proofErr w:type="gram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India.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Management of basilar invagination – A Historical Perspective. – Vesalius award. 2016 American Association of Neurological Surgeons (AANS) Annual Meeting Chicago, Illinois.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3D printed models – an emerging investigational revolution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surgery. NSICON 2016, Chennai, India</w:t>
      </w:r>
    </w:p>
    <w:p w:rsidR="00EC2272" w:rsidRPr="00553C13" w:rsidRDefault="00EC2272" w:rsidP="00EC2272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3D printed models – an emerging investigational revolution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 surgery.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Neurosurge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2017, Mumbai, India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Management of giant aneurysms.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Neurovascon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2017, Delhi, India</w:t>
      </w:r>
    </w:p>
    <w:p w:rsidR="00F329B0" w:rsidRPr="00553C13" w:rsidRDefault="00F329B0" w:rsidP="00F329B0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F329B0" w:rsidRPr="00553C13" w:rsidRDefault="00F329B0" w:rsidP="00F329B0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Three dimensional models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arteriovenous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malformations. Invited Lecture – 13th International Conference on Cerebrovascular surgery, October 2017, Nagoya, Japan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Management of giant aneurysms. Invited Lecture – 13th International Conference on Cerebrovascular surgery, October 2017, Nagoya, Japan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Management of Giant aneurysms. NSICON 2017, Nagpur, India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Three dimensional anatomy of the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Craniovertebral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Junction. Invited faculty - The 4th Walter E Dandy Neurosurgical Society India Chapter International Educational Course, 3rd Walter E Dandy Micro Vascular Anastomoses Hands-on Workshop and Practical Anatomy of the Spine Workshop on the 4th -6th January 2018 at Agra, India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Three dimensional models for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arteriovenous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malformations Invited faculty - The 4th Walter E Dandy Neurosurgical Society India Chapter International Educational Course, 3rd Walter E Dandy Micro Vascular Anastomoses Hands-on Workshop and Practical Anatomy of the Spine Workshop on the 4th -6th January 2018 at Agra, India</w:t>
      </w:r>
    </w:p>
    <w:p w:rsidR="00EC2272" w:rsidRPr="00553C13" w:rsidRDefault="00EC2272" w:rsidP="00EC2272">
      <w:pPr>
        <w:pStyle w:val="ListParagraph"/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Cortical and subcortical anatomy. Invited faculty -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Masterclass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in Neurosurgical Oncology - Maximizing Resections, Minimizing morbidity" on 26-28th Jan 2018, Tata Memorial Hospital, Mumbai, India</w:t>
      </w:r>
    </w:p>
    <w:p w:rsidR="00EC2272" w:rsidRPr="00553C13" w:rsidRDefault="00EC2272" w:rsidP="00EC2272">
      <w:pPr>
        <w:pStyle w:val="ListParagrap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553C13" w:rsidRDefault="00CE170B" w:rsidP="00EC2272">
      <w:pPr>
        <w:pStyle w:val="ListParagraph"/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Rotatory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Atlantoaxial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dislocation – Invited faculty. MCNS 2018, </w:t>
      </w:r>
      <w:proofErr w:type="spellStart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Solapur</w:t>
      </w:r>
      <w:proofErr w:type="spellEnd"/>
      <w:r w:rsidRPr="00553C13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, India</w:t>
      </w:r>
    </w:p>
    <w:p w:rsidR="00CE170B" w:rsidRPr="00553C13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</w:p>
    <w:p w:rsidR="00CE170B" w:rsidRPr="00EC2272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Thanking You,</w:t>
      </w:r>
    </w:p>
    <w:p w:rsidR="00194B29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Dr. </w:t>
      </w:r>
      <w:proofErr w:type="spellStart"/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Abhidha</w:t>
      </w:r>
      <w:proofErr w:type="spellEnd"/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Shah</w:t>
      </w:r>
      <w:r w:rsidR="00194B29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</w:t>
      </w:r>
    </w:p>
    <w:p w:rsidR="00CE170B" w:rsidRPr="00EC2272" w:rsidRDefault="00194B29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proofErr w:type="spellStart"/>
      <w:r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Regn</w:t>
      </w:r>
      <w:proofErr w:type="spellEnd"/>
      <w:r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No.: 89508</w:t>
      </w:r>
    </w:p>
    <w:p w:rsidR="00CE170B" w:rsidRPr="00EC2272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Neurosurgeon</w:t>
      </w:r>
    </w:p>
    <w:p w:rsidR="00CE170B" w:rsidRPr="00EC2272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proofErr w:type="gramStart"/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Mobile No.</w:t>
      </w:r>
      <w:proofErr w:type="gramEnd"/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+919821014950</w:t>
      </w:r>
    </w:p>
    <w:p w:rsidR="00CE170B" w:rsidRPr="00EC2272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Email Id</w:t>
      </w:r>
      <w:proofErr w:type="gramStart"/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:-</w:t>
      </w:r>
      <w:proofErr w:type="gramEnd"/>
      <w:r w:rsidRPr="00EC2272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 abhidha@gmail.com</w:t>
      </w:r>
    </w:p>
    <w:p w:rsidR="00CE170B" w:rsidRPr="00CE170B" w:rsidRDefault="00CE170B" w:rsidP="00CE170B">
      <w:pPr>
        <w:jc w:val="both"/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</w:pPr>
    </w:p>
    <w:p w:rsidR="00EE6E21" w:rsidRPr="00CE170B" w:rsidRDefault="00EE6E21" w:rsidP="00CE170B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bookmarkEnd w:id="0"/>
    </w:p>
    <w:sectPr w:rsidR="00EE6E21" w:rsidRPr="00CE170B" w:rsidSect="007F6290">
      <w:headerReference w:type="default" r:id="rId9"/>
      <w:headerReference w:type="first" r:id="rId10"/>
      <w:pgSz w:w="12240" w:h="20160" w:code="5"/>
      <w:pgMar w:top="1440" w:right="1008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4C" w:rsidRDefault="00C5184C" w:rsidP="001375D4">
      <w:pPr>
        <w:spacing w:line="240" w:lineRule="auto"/>
      </w:pPr>
      <w:r>
        <w:separator/>
      </w:r>
    </w:p>
  </w:endnote>
  <w:endnote w:type="continuationSeparator" w:id="0">
    <w:p w:rsidR="00C5184C" w:rsidRDefault="00C5184C" w:rsidP="0013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4C" w:rsidRDefault="00C5184C" w:rsidP="001375D4">
      <w:pPr>
        <w:spacing w:line="240" w:lineRule="auto"/>
      </w:pPr>
      <w:r>
        <w:separator/>
      </w:r>
    </w:p>
  </w:footnote>
  <w:footnote w:type="continuationSeparator" w:id="0">
    <w:p w:rsidR="00C5184C" w:rsidRDefault="00C5184C" w:rsidP="0013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C" w:rsidRPr="007222C5" w:rsidRDefault="00C5184C">
    <w:pPr>
      <w:pStyle w:val="Title"/>
      <w:rPr>
        <w:color w:val="943634" w:themeColor="accent2" w:themeShade="BF"/>
        <w:sz w:val="36"/>
        <w:szCs w:val="36"/>
      </w:rPr>
    </w:pPr>
    <w:r w:rsidRPr="007222C5">
      <w:rPr>
        <w:color w:val="943634" w:themeColor="accent2" w:themeShade="BF"/>
        <w:sz w:val="36"/>
        <w:szCs w:val="36"/>
      </w:rPr>
      <w:fldChar w:fldCharType="begin"/>
    </w:r>
    <w:r w:rsidRPr="007222C5">
      <w:rPr>
        <w:color w:val="943634" w:themeColor="accent2" w:themeShade="BF"/>
        <w:sz w:val="36"/>
        <w:szCs w:val="36"/>
      </w:rPr>
      <w:instrText xml:space="preserve"> PLACEHOLDER </w:instrText>
    </w:r>
    <w:r w:rsidRPr="007222C5">
      <w:rPr>
        <w:color w:val="943634" w:themeColor="accent2" w:themeShade="BF"/>
        <w:sz w:val="36"/>
        <w:szCs w:val="36"/>
      </w:rPr>
      <w:fldChar w:fldCharType="begin"/>
    </w:r>
    <w:r w:rsidRPr="007222C5">
      <w:rPr>
        <w:color w:val="943634" w:themeColor="accent2" w:themeShade="BF"/>
        <w:sz w:val="36"/>
        <w:szCs w:val="36"/>
      </w:rPr>
      <w:instrText xml:space="preserve"> IF </w:instrText>
    </w:r>
    <w:r w:rsidRPr="007222C5">
      <w:rPr>
        <w:color w:val="943634" w:themeColor="accent2" w:themeShade="BF"/>
        <w:sz w:val="36"/>
        <w:szCs w:val="36"/>
      </w:rPr>
      <w:fldChar w:fldCharType="begin"/>
    </w:r>
    <w:r w:rsidRPr="007222C5">
      <w:rPr>
        <w:color w:val="943634" w:themeColor="accent2" w:themeShade="BF"/>
        <w:sz w:val="36"/>
        <w:szCs w:val="36"/>
      </w:rPr>
      <w:instrText xml:space="preserve"> USERNAME </w:instrText>
    </w:r>
    <w:r w:rsidRPr="007222C5">
      <w:rPr>
        <w:color w:val="943634" w:themeColor="accent2" w:themeShade="BF"/>
        <w:sz w:val="36"/>
        <w:szCs w:val="36"/>
      </w:rPr>
      <w:fldChar w:fldCharType="separate"/>
    </w:r>
    <w:r>
      <w:rPr>
        <w:noProof/>
        <w:color w:val="943634" w:themeColor="accent2" w:themeShade="BF"/>
        <w:sz w:val="36"/>
        <w:szCs w:val="36"/>
      </w:rPr>
      <w:instrText>Sujatha</w:instrText>
    </w:r>
    <w:r w:rsidRPr="007222C5">
      <w:rPr>
        <w:color w:val="943634" w:themeColor="accent2" w:themeShade="BF"/>
        <w:sz w:val="36"/>
        <w:szCs w:val="36"/>
      </w:rPr>
      <w:fldChar w:fldCharType="end"/>
    </w:r>
    <w:r w:rsidRPr="007222C5">
      <w:rPr>
        <w:color w:val="943634" w:themeColor="accent2" w:themeShade="BF"/>
        <w:sz w:val="36"/>
        <w:szCs w:val="36"/>
      </w:rPr>
      <w:instrText xml:space="preserve">="" "[Your Name]" </w:instrText>
    </w:r>
    <w:r w:rsidRPr="007222C5">
      <w:rPr>
        <w:color w:val="943634" w:themeColor="accent2" w:themeShade="BF"/>
        <w:sz w:val="36"/>
        <w:szCs w:val="36"/>
      </w:rPr>
      <w:fldChar w:fldCharType="begin"/>
    </w:r>
    <w:r w:rsidRPr="007222C5">
      <w:rPr>
        <w:color w:val="943634" w:themeColor="accent2" w:themeShade="BF"/>
        <w:sz w:val="36"/>
        <w:szCs w:val="36"/>
      </w:rPr>
      <w:instrText xml:space="preserve"> USERNAME </w:instrText>
    </w:r>
    <w:r w:rsidRPr="007222C5">
      <w:rPr>
        <w:color w:val="943634" w:themeColor="accent2" w:themeShade="BF"/>
        <w:sz w:val="36"/>
        <w:szCs w:val="36"/>
      </w:rPr>
      <w:fldChar w:fldCharType="separate"/>
    </w:r>
    <w:r>
      <w:rPr>
        <w:noProof/>
        <w:color w:val="943634" w:themeColor="accent2" w:themeShade="BF"/>
        <w:sz w:val="36"/>
        <w:szCs w:val="36"/>
      </w:rPr>
      <w:instrText>Sujatha</w:instrText>
    </w:r>
    <w:r w:rsidRPr="007222C5">
      <w:rPr>
        <w:noProof/>
        <w:color w:val="943634" w:themeColor="accent2" w:themeShade="BF"/>
        <w:sz w:val="36"/>
        <w:szCs w:val="36"/>
      </w:rPr>
      <w:fldChar w:fldCharType="end"/>
    </w:r>
    <w:r w:rsidRPr="007222C5">
      <w:rPr>
        <w:color w:val="943634" w:themeColor="accent2" w:themeShade="BF"/>
        <w:sz w:val="36"/>
        <w:szCs w:val="36"/>
      </w:rPr>
      <w:fldChar w:fldCharType="separate"/>
    </w:r>
    <w:r>
      <w:rPr>
        <w:noProof/>
        <w:color w:val="943634" w:themeColor="accent2" w:themeShade="BF"/>
        <w:sz w:val="36"/>
        <w:szCs w:val="36"/>
      </w:rPr>
      <w:instrText>Sujatha</w:instrText>
    </w:r>
    <w:r w:rsidRPr="007222C5">
      <w:rPr>
        <w:color w:val="943634" w:themeColor="accent2" w:themeShade="BF"/>
        <w:sz w:val="36"/>
        <w:szCs w:val="36"/>
      </w:rPr>
      <w:fldChar w:fldCharType="end"/>
    </w:r>
    <w:r w:rsidRPr="007222C5">
      <w:rPr>
        <w:color w:val="943634" w:themeColor="accent2" w:themeShade="BF"/>
        <w:sz w:val="36"/>
        <w:szCs w:val="36"/>
      </w:rPr>
      <w:instrText xml:space="preserve"> \* MERGEFORMAT</w:instrText>
    </w:r>
    <w:r w:rsidRPr="007222C5">
      <w:rPr>
        <w:color w:val="943634" w:themeColor="accent2" w:themeShade="BF"/>
        <w:sz w:val="36"/>
        <w:szCs w:val="36"/>
      </w:rPr>
      <w:fldChar w:fldCharType="separate"/>
    </w:r>
    <w:proofErr w:type="spellStart"/>
    <w:r w:rsidRPr="007222C5">
      <w:rPr>
        <w:color w:val="943634" w:themeColor="accent2" w:themeShade="BF"/>
        <w:sz w:val="36"/>
        <w:szCs w:val="36"/>
      </w:rPr>
      <w:t>Abhidha</w:t>
    </w:r>
    <w:proofErr w:type="spellEnd"/>
    <w:r w:rsidRPr="007222C5">
      <w:rPr>
        <w:color w:val="943634" w:themeColor="accent2" w:themeShade="BF"/>
        <w:sz w:val="36"/>
        <w:szCs w:val="36"/>
      </w:rPr>
      <w:t xml:space="preserve"> </w:t>
    </w:r>
    <w:r w:rsidRPr="007222C5">
      <w:rPr>
        <w:noProof/>
        <w:color w:val="943634" w:themeColor="accent2" w:themeShade="BF"/>
        <w:sz w:val="36"/>
        <w:szCs w:val="36"/>
      </w:rPr>
      <w:t>Shah</w:t>
    </w:r>
    <w:r w:rsidRPr="007222C5">
      <w:rPr>
        <w:color w:val="943634" w:themeColor="accent2" w:themeShade="BF"/>
        <w:sz w:val="36"/>
        <w:szCs w:val="36"/>
      </w:rPr>
      <w:fldChar w:fldCharType="end"/>
    </w:r>
  </w:p>
  <w:p w:rsidR="00C5184C" w:rsidRPr="007222C5" w:rsidRDefault="00C5184C">
    <w:pPr>
      <w:pStyle w:val="Header"/>
      <w:rPr>
        <w:color w:val="943634" w:themeColor="accent2" w:themeShade="BF"/>
        <w:sz w:val="20"/>
        <w:szCs w:val="20"/>
      </w:rPr>
    </w:pPr>
    <w:r w:rsidRPr="007222C5">
      <w:rPr>
        <w:color w:val="943634" w:themeColor="accent2" w:themeShade="BF"/>
        <w:sz w:val="20"/>
        <w:szCs w:val="20"/>
      </w:rPr>
      <w:t xml:space="preserve">Page </w:t>
    </w:r>
    <w:r w:rsidRPr="007222C5">
      <w:rPr>
        <w:color w:val="943634" w:themeColor="accent2" w:themeShade="BF"/>
        <w:sz w:val="20"/>
        <w:szCs w:val="20"/>
      </w:rPr>
      <w:fldChar w:fldCharType="begin"/>
    </w:r>
    <w:r w:rsidRPr="007222C5">
      <w:rPr>
        <w:color w:val="943634" w:themeColor="accent2" w:themeShade="BF"/>
        <w:sz w:val="20"/>
        <w:szCs w:val="20"/>
      </w:rPr>
      <w:instrText xml:space="preserve"> page </w:instrText>
    </w:r>
    <w:r w:rsidRPr="007222C5">
      <w:rPr>
        <w:color w:val="943634" w:themeColor="accent2" w:themeShade="BF"/>
        <w:sz w:val="20"/>
        <w:szCs w:val="20"/>
      </w:rPr>
      <w:fldChar w:fldCharType="separate"/>
    </w:r>
    <w:r w:rsidR="0045150E">
      <w:rPr>
        <w:noProof/>
        <w:color w:val="943634" w:themeColor="accent2" w:themeShade="BF"/>
        <w:sz w:val="20"/>
        <w:szCs w:val="20"/>
      </w:rPr>
      <w:t>12</w:t>
    </w:r>
    <w:r w:rsidRPr="007222C5">
      <w:rPr>
        <w:noProof/>
        <w:color w:val="943634" w:themeColor="accent2" w:themeShade="BF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C" w:rsidRPr="00967F7C" w:rsidRDefault="00C5184C">
    <w:pPr>
      <w:pStyle w:val="Title"/>
      <w:rPr>
        <w:color w:val="C00000"/>
        <w:sz w:val="44"/>
        <w:szCs w:val="44"/>
      </w:rPr>
    </w:pPr>
    <w:r w:rsidRPr="00967F7C">
      <w:rPr>
        <w:color w:val="C00000"/>
        <w:sz w:val="44"/>
        <w:szCs w:val="44"/>
      </w:rPr>
      <w:fldChar w:fldCharType="begin"/>
    </w:r>
    <w:r w:rsidRPr="00967F7C">
      <w:rPr>
        <w:color w:val="C00000"/>
        <w:sz w:val="44"/>
        <w:szCs w:val="44"/>
      </w:rPr>
      <w:instrText xml:space="preserve"> PLACEHOLDER </w:instrText>
    </w:r>
    <w:r w:rsidRPr="00967F7C">
      <w:rPr>
        <w:color w:val="C00000"/>
        <w:sz w:val="44"/>
        <w:szCs w:val="44"/>
      </w:rPr>
      <w:fldChar w:fldCharType="begin"/>
    </w:r>
    <w:r w:rsidRPr="00967F7C">
      <w:rPr>
        <w:color w:val="C00000"/>
        <w:sz w:val="44"/>
        <w:szCs w:val="44"/>
      </w:rPr>
      <w:instrText xml:space="preserve"> IF </w:instrText>
    </w:r>
    <w:r w:rsidRPr="00967F7C">
      <w:rPr>
        <w:color w:val="C00000"/>
        <w:sz w:val="44"/>
        <w:szCs w:val="44"/>
      </w:rPr>
      <w:fldChar w:fldCharType="begin"/>
    </w:r>
    <w:r w:rsidRPr="00967F7C">
      <w:rPr>
        <w:color w:val="C00000"/>
        <w:sz w:val="44"/>
        <w:szCs w:val="44"/>
      </w:rPr>
      <w:instrText xml:space="preserve"> USERNAME </w:instrText>
    </w:r>
    <w:r w:rsidRPr="00967F7C">
      <w:rPr>
        <w:color w:val="C00000"/>
        <w:sz w:val="44"/>
        <w:szCs w:val="44"/>
      </w:rPr>
      <w:fldChar w:fldCharType="separate"/>
    </w:r>
    <w:r>
      <w:rPr>
        <w:noProof/>
        <w:color w:val="C00000"/>
        <w:sz w:val="44"/>
        <w:szCs w:val="44"/>
      </w:rPr>
      <w:instrText>Sujatha</w:instrText>
    </w:r>
    <w:r w:rsidRPr="00967F7C">
      <w:rPr>
        <w:color w:val="C00000"/>
        <w:sz w:val="44"/>
        <w:szCs w:val="44"/>
      </w:rPr>
      <w:fldChar w:fldCharType="end"/>
    </w:r>
    <w:r w:rsidRPr="00967F7C">
      <w:rPr>
        <w:color w:val="C00000"/>
        <w:sz w:val="44"/>
        <w:szCs w:val="44"/>
      </w:rPr>
      <w:instrText xml:space="preserve">="" "[Your Name]" </w:instrText>
    </w:r>
    <w:r w:rsidRPr="00967F7C">
      <w:rPr>
        <w:color w:val="C00000"/>
        <w:sz w:val="44"/>
        <w:szCs w:val="44"/>
      </w:rPr>
      <w:fldChar w:fldCharType="begin"/>
    </w:r>
    <w:r w:rsidRPr="00967F7C">
      <w:rPr>
        <w:color w:val="C00000"/>
        <w:sz w:val="44"/>
        <w:szCs w:val="44"/>
      </w:rPr>
      <w:instrText xml:space="preserve"> USERNAME </w:instrText>
    </w:r>
    <w:r w:rsidRPr="00967F7C">
      <w:rPr>
        <w:color w:val="C00000"/>
        <w:sz w:val="44"/>
        <w:szCs w:val="44"/>
      </w:rPr>
      <w:fldChar w:fldCharType="separate"/>
    </w:r>
    <w:r>
      <w:rPr>
        <w:noProof/>
        <w:color w:val="C00000"/>
        <w:sz w:val="44"/>
        <w:szCs w:val="44"/>
      </w:rPr>
      <w:instrText>Sujatha</w:instrText>
    </w:r>
    <w:r w:rsidRPr="00967F7C">
      <w:rPr>
        <w:noProof/>
        <w:color w:val="C00000"/>
        <w:sz w:val="44"/>
        <w:szCs w:val="44"/>
      </w:rPr>
      <w:fldChar w:fldCharType="end"/>
    </w:r>
    <w:r w:rsidRPr="00967F7C">
      <w:rPr>
        <w:color w:val="C00000"/>
        <w:sz w:val="44"/>
        <w:szCs w:val="44"/>
      </w:rPr>
      <w:fldChar w:fldCharType="separate"/>
    </w:r>
    <w:r>
      <w:rPr>
        <w:noProof/>
        <w:color w:val="C00000"/>
        <w:sz w:val="44"/>
        <w:szCs w:val="44"/>
      </w:rPr>
      <w:instrText>Sujatha</w:instrText>
    </w:r>
    <w:r w:rsidRPr="00967F7C">
      <w:rPr>
        <w:color w:val="C00000"/>
        <w:sz w:val="44"/>
        <w:szCs w:val="44"/>
      </w:rPr>
      <w:fldChar w:fldCharType="end"/>
    </w:r>
    <w:r w:rsidRPr="00967F7C">
      <w:rPr>
        <w:color w:val="C00000"/>
        <w:sz w:val="44"/>
        <w:szCs w:val="44"/>
      </w:rPr>
      <w:instrText xml:space="preserve"> \* MERGEFORMAT</w:instrText>
    </w:r>
    <w:r w:rsidRPr="00967F7C">
      <w:rPr>
        <w:color w:val="C00000"/>
        <w:sz w:val="44"/>
        <w:szCs w:val="44"/>
      </w:rPr>
      <w:fldChar w:fldCharType="separate"/>
    </w:r>
    <w:proofErr w:type="spellStart"/>
    <w:r w:rsidRPr="00967F7C">
      <w:rPr>
        <w:color w:val="C00000"/>
        <w:sz w:val="44"/>
        <w:szCs w:val="44"/>
      </w:rPr>
      <w:t>Abhidha</w:t>
    </w:r>
    <w:proofErr w:type="spellEnd"/>
    <w:r w:rsidRPr="00967F7C">
      <w:rPr>
        <w:color w:val="C00000"/>
        <w:sz w:val="44"/>
        <w:szCs w:val="44"/>
      </w:rPr>
      <w:t xml:space="preserve"> </w:t>
    </w:r>
    <w:r w:rsidRPr="00967F7C">
      <w:rPr>
        <w:noProof/>
        <w:color w:val="C00000"/>
        <w:sz w:val="44"/>
        <w:szCs w:val="44"/>
      </w:rPr>
      <w:t>Shah</w:t>
    </w:r>
    <w:r w:rsidRPr="00967F7C">
      <w:rPr>
        <w:color w:val="C00000"/>
        <w:sz w:val="44"/>
        <w:szCs w:val="44"/>
      </w:rPr>
      <w:fldChar w:fldCharType="end"/>
    </w:r>
    <w:r w:rsidRPr="00967F7C">
      <w:rPr>
        <w:color w:val="C00000"/>
        <w:sz w:val="44"/>
        <w:szCs w:val="44"/>
      </w:rPr>
      <w:t xml:space="preserve"> Dr.</w:t>
    </w:r>
  </w:p>
  <w:p w:rsidR="00C5184C" w:rsidRPr="00967F7C" w:rsidRDefault="00C5184C">
    <w:pPr>
      <w:pStyle w:val="ContactDetails"/>
      <w:rPr>
        <w:b/>
        <w:color w:val="000000" w:themeColor="text1"/>
        <w:sz w:val="28"/>
        <w:szCs w:val="28"/>
      </w:rPr>
    </w:pPr>
    <w:r w:rsidRPr="00967F7C">
      <w:rPr>
        <w:b/>
        <w:color w:val="000000" w:themeColor="text1"/>
        <w:sz w:val="28"/>
        <w:szCs w:val="28"/>
      </w:rPr>
      <w:t xml:space="preserve">140, </w:t>
    </w:r>
    <w:proofErr w:type="spellStart"/>
    <w:r w:rsidRPr="00967F7C">
      <w:rPr>
        <w:b/>
        <w:color w:val="000000" w:themeColor="text1"/>
        <w:sz w:val="28"/>
        <w:szCs w:val="28"/>
      </w:rPr>
      <w:t>Jashwanti</w:t>
    </w:r>
    <w:proofErr w:type="spellEnd"/>
    <w:r w:rsidRPr="00967F7C">
      <w:rPr>
        <w:b/>
        <w:color w:val="000000" w:themeColor="text1"/>
        <w:sz w:val="28"/>
        <w:szCs w:val="28"/>
      </w:rPr>
      <w:t xml:space="preserve"> </w:t>
    </w:r>
    <w:proofErr w:type="spellStart"/>
    <w:r w:rsidRPr="00967F7C">
      <w:rPr>
        <w:b/>
        <w:color w:val="000000" w:themeColor="text1"/>
        <w:sz w:val="28"/>
        <w:szCs w:val="28"/>
      </w:rPr>
      <w:t>Niwas</w:t>
    </w:r>
    <w:proofErr w:type="spellEnd"/>
    <w:r w:rsidRPr="00967F7C">
      <w:rPr>
        <w:b/>
        <w:color w:val="000000" w:themeColor="text1"/>
        <w:sz w:val="28"/>
        <w:szCs w:val="28"/>
      </w:rPr>
      <w:t xml:space="preserve">, Block 11-12, Scheme 6, </w:t>
    </w:r>
    <w:proofErr w:type="spellStart"/>
    <w:r w:rsidRPr="00967F7C">
      <w:rPr>
        <w:b/>
        <w:color w:val="000000" w:themeColor="text1"/>
        <w:sz w:val="28"/>
        <w:szCs w:val="28"/>
      </w:rPr>
      <w:t>Sion</w:t>
    </w:r>
    <w:proofErr w:type="spellEnd"/>
    <w:r w:rsidRPr="00967F7C">
      <w:rPr>
        <w:b/>
        <w:color w:val="000000" w:themeColor="text1"/>
        <w:sz w:val="28"/>
        <w:szCs w:val="28"/>
      </w:rPr>
      <w:t xml:space="preserve"> West, Mumbai - 400022</w:t>
    </w:r>
    <w:r w:rsidRPr="00967F7C">
      <w:rPr>
        <w:b/>
        <w:color w:val="000000" w:themeColor="text1"/>
        <w:sz w:val="28"/>
        <w:szCs w:val="28"/>
      </w:rPr>
      <w:br/>
      <w:t xml:space="preserve">Phone: - +919821014950 </w:t>
    </w:r>
    <w:r w:rsidRPr="00967F7C">
      <w:rPr>
        <w:b/>
        <w:color w:val="000000" w:themeColor="text1"/>
        <w:sz w:val="28"/>
        <w:szCs w:val="28"/>
      </w:rPr>
      <w:sym w:font="Wingdings 2" w:char="F097"/>
    </w:r>
    <w:r w:rsidRPr="00967F7C">
      <w:rPr>
        <w:b/>
        <w:color w:val="000000" w:themeColor="text1"/>
        <w:sz w:val="28"/>
        <w:szCs w:val="28"/>
      </w:rPr>
      <w:t xml:space="preserve"> E-Mail: abhidha@gmail.com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BC"/>
    <w:multiLevelType w:val="hybridMultilevel"/>
    <w:tmpl w:val="79E25A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D355DE"/>
    <w:multiLevelType w:val="hybridMultilevel"/>
    <w:tmpl w:val="DB8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3895"/>
    <w:multiLevelType w:val="hybridMultilevel"/>
    <w:tmpl w:val="D77E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22E0"/>
    <w:multiLevelType w:val="hybridMultilevel"/>
    <w:tmpl w:val="39B8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3C5"/>
    <w:multiLevelType w:val="hybridMultilevel"/>
    <w:tmpl w:val="8872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2909"/>
    <w:multiLevelType w:val="hybridMultilevel"/>
    <w:tmpl w:val="E4D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50B1"/>
    <w:multiLevelType w:val="hybridMultilevel"/>
    <w:tmpl w:val="08E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A5F86"/>
    <w:multiLevelType w:val="hybridMultilevel"/>
    <w:tmpl w:val="EAB6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0360"/>
    <w:multiLevelType w:val="hybridMultilevel"/>
    <w:tmpl w:val="28C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5291E"/>
    <w:multiLevelType w:val="hybridMultilevel"/>
    <w:tmpl w:val="0412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04872"/>
    <w:multiLevelType w:val="hybridMultilevel"/>
    <w:tmpl w:val="FC2E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D2CF9"/>
    <w:multiLevelType w:val="hybridMultilevel"/>
    <w:tmpl w:val="3F2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3779"/>
    <w:multiLevelType w:val="hybridMultilevel"/>
    <w:tmpl w:val="99001F8A"/>
    <w:lvl w:ilvl="0" w:tplc="BB26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90507"/>
    <w:multiLevelType w:val="hybridMultilevel"/>
    <w:tmpl w:val="D5A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3055A"/>
    <w:multiLevelType w:val="hybridMultilevel"/>
    <w:tmpl w:val="0E7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930"/>
    <w:multiLevelType w:val="hybridMultilevel"/>
    <w:tmpl w:val="07D6FC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16503"/>
    <w:multiLevelType w:val="hybridMultilevel"/>
    <w:tmpl w:val="DD8A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F0F1F"/>
    <w:multiLevelType w:val="hybridMultilevel"/>
    <w:tmpl w:val="BF5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83831"/>
    <w:multiLevelType w:val="hybridMultilevel"/>
    <w:tmpl w:val="D08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9"/>
  </w:num>
  <w:num w:numId="7">
    <w:abstractNumId w:val="19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8"/>
    <w:rsid w:val="0002355D"/>
    <w:rsid w:val="001375D4"/>
    <w:rsid w:val="00194B29"/>
    <w:rsid w:val="001E1567"/>
    <w:rsid w:val="00207769"/>
    <w:rsid w:val="0021207E"/>
    <w:rsid w:val="0023771E"/>
    <w:rsid w:val="002A32E0"/>
    <w:rsid w:val="003A666E"/>
    <w:rsid w:val="0045150E"/>
    <w:rsid w:val="0048550E"/>
    <w:rsid w:val="004E6704"/>
    <w:rsid w:val="00521A24"/>
    <w:rsid w:val="005236D0"/>
    <w:rsid w:val="0052419E"/>
    <w:rsid w:val="00553C13"/>
    <w:rsid w:val="005C6208"/>
    <w:rsid w:val="00655D39"/>
    <w:rsid w:val="006B3BA0"/>
    <w:rsid w:val="007222C5"/>
    <w:rsid w:val="007D5443"/>
    <w:rsid w:val="007F6290"/>
    <w:rsid w:val="00812A4C"/>
    <w:rsid w:val="008236FC"/>
    <w:rsid w:val="00824541"/>
    <w:rsid w:val="008955A4"/>
    <w:rsid w:val="009103E9"/>
    <w:rsid w:val="00967F7C"/>
    <w:rsid w:val="009A36FE"/>
    <w:rsid w:val="00A6541E"/>
    <w:rsid w:val="00A6698C"/>
    <w:rsid w:val="00B80728"/>
    <w:rsid w:val="00BE73C5"/>
    <w:rsid w:val="00C02385"/>
    <w:rsid w:val="00C15D17"/>
    <w:rsid w:val="00C4584E"/>
    <w:rsid w:val="00C5184C"/>
    <w:rsid w:val="00CE170B"/>
    <w:rsid w:val="00DD3992"/>
    <w:rsid w:val="00DD6F80"/>
    <w:rsid w:val="00EC2272"/>
    <w:rsid w:val="00EE6E21"/>
    <w:rsid w:val="00F329B0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355D"/>
    <w:pPr>
      <w:spacing w:after="0" w:line="300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02355D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5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02355D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2355D"/>
    <w:rPr>
      <w:rFonts w:eastAsiaTheme="minorEastAsia"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02355D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355D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02355D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customStyle="1" w:styleId="DegreeDetails">
    <w:name w:val="Degree Details"/>
    <w:basedOn w:val="BodyText"/>
    <w:rsid w:val="0002355D"/>
  </w:style>
  <w:style w:type="paragraph" w:styleId="ListBullet">
    <w:name w:val="List Bullet"/>
    <w:basedOn w:val="Normal"/>
    <w:rsid w:val="0002355D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02355D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02355D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02355D"/>
    <w:rPr>
      <w:rFonts w:eastAsiaTheme="minorEastAsia"/>
    </w:rPr>
  </w:style>
  <w:style w:type="paragraph" w:styleId="ListBullet2">
    <w:name w:val="List Bullet 2"/>
    <w:basedOn w:val="ListBullet"/>
    <w:rsid w:val="0002355D"/>
    <w:pPr>
      <w:spacing w:after="220"/>
    </w:pPr>
  </w:style>
  <w:style w:type="paragraph" w:styleId="BodyText">
    <w:name w:val="Body Text"/>
    <w:basedOn w:val="Normal"/>
    <w:link w:val="BodyTextChar"/>
    <w:unhideWhenUsed/>
    <w:rsid w:val="000235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355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2355D"/>
    <w:pPr>
      <w:ind w:left="720"/>
      <w:contextualSpacing/>
    </w:pPr>
  </w:style>
  <w:style w:type="character" w:styleId="Hyperlink">
    <w:name w:val="Hyperlink"/>
    <w:uiPriority w:val="99"/>
    <w:rsid w:val="0002355D"/>
    <w:rPr>
      <w:color w:val="0000FF"/>
      <w:u w:val="single"/>
    </w:rPr>
  </w:style>
  <w:style w:type="character" w:customStyle="1" w:styleId="journalname">
    <w:name w:val="journalname"/>
    <w:basedOn w:val="DefaultParagraphFont"/>
    <w:rsid w:val="0002355D"/>
  </w:style>
  <w:style w:type="character" w:customStyle="1" w:styleId="ti2">
    <w:name w:val="ti2"/>
    <w:rsid w:val="0002355D"/>
    <w:rPr>
      <w:sz w:val="22"/>
      <w:szCs w:val="22"/>
    </w:rPr>
  </w:style>
  <w:style w:type="character" w:customStyle="1" w:styleId="src1">
    <w:name w:val="src1"/>
    <w:rsid w:val="0002355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2355D"/>
  </w:style>
  <w:style w:type="character" w:customStyle="1" w:styleId="il">
    <w:name w:val="il"/>
    <w:basedOn w:val="DefaultParagraphFont"/>
    <w:rsid w:val="0002355D"/>
  </w:style>
  <w:style w:type="paragraph" w:styleId="BalloonText">
    <w:name w:val="Balloon Text"/>
    <w:basedOn w:val="Normal"/>
    <w:link w:val="BalloonTextChar"/>
    <w:uiPriority w:val="99"/>
    <w:semiHidden/>
    <w:unhideWhenUsed/>
    <w:rsid w:val="0002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5D"/>
    <w:rPr>
      <w:rFonts w:ascii="Tahoma" w:eastAsiaTheme="minorEastAsia" w:hAnsi="Tahoma" w:cs="Tahoma"/>
      <w:sz w:val="16"/>
      <w:szCs w:val="16"/>
    </w:rPr>
  </w:style>
  <w:style w:type="table" w:customStyle="1" w:styleId="CVDetails1">
    <w:name w:val="CV Details1"/>
    <w:basedOn w:val="TableNormal"/>
    <w:rsid w:val="00CE170B"/>
    <w:pPr>
      <w:spacing w:after="0" w:line="240" w:lineRule="auto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75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D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355D"/>
    <w:pPr>
      <w:spacing w:after="0" w:line="300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02355D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5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02355D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2355D"/>
    <w:rPr>
      <w:rFonts w:eastAsiaTheme="minorEastAsia"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02355D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355D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02355D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customStyle="1" w:styleId="DegreeDetails">
    <w:name w:val="Degree Details"/>
    <w:basedOn w:val="BodyText"/>
    <w:rsid w:val="0002355D"/>
  </w:style>
  <w:style w:type="paragraph" w:styleId="ListBullet">
    <w:name w:val="List Bullet"/>
    <w:basedOn w:val="Normal"/>
    <w:rsid w:val="0002355D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02355D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02355D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02355D"/>
    <w:rPr>
      <w:rFonts w:eastAsiaTheme="minorEastAsia"/>
    </w:rPr>
  </w:style>
  <w:style w:type="paragraph" w:styleId="ListBullet2">
    <w:name w:val="List Bullet 2"/>
    <w:basedOn w:val="ListBullet"/>
    <w:rsid w:val="0002355D"/>
    <w:pPr>
      <w:spacing w:after="220"/>
    </w:pPr>
  </w:style>
  <w:style w:type="paragraph" w:styleId="BodyText">
    <w:name w:val="Body Text"/>
    <w:basedOn w:val="Normal"/>
    <w:link w:val="BodyTextChar"/>
    <w:unhideWhenUsed/>
    <w:rsid w:val="000235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355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2355D"/>
    <w:pPr>
      <w:ind w:left="720"/>
      <w:contextualSpacing/>
    </w:pPr>
  </w:style>
  <w:style w:type="character" w:styleId="Hyperlink">
    <w:name w:val="Hyperlink"/>
    <w:uiPriority w:val="99"/>
    <w:rsid w:val="0002355D"/>
    <w:rPr>
      <w:color w:val="0000FF"/>
      <w:u w:val="single"/>
    </w:rPr>
  </w:style>
  <w:style w:type="character" w:customStyle="1" w:styleId="journalname">
    <w:name w:val="journalname"/>
    <w:basedOn w:val="DefaultParagraphFont"/>
    <w:rsid w:val="0002355D"/>
  </w:style>
  <w:style w:type="character" w:customStyle="1" w:styleId="ti2">
    <w:name w:val="ti2"/>
    <w:rsid w:val="0002355D"/>
    <w:rPr>
      <w:sz w:val="22"/>
      <w:szCs w:val="22"/>
    </w:rPr>
  </w:style>
  <w:style w:type="character" w:customStyle="1" w:styleId="src1">
    <w:name w:val="src1"/>
    <w:rsid w:val="0002355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2355D"/>
  </w:style>
  <w:style w:type="character" w:customStyle="1" w:styleId="il">
    <w:name w:val="il"/>
    <w:basedOn w:val="DefaultParagraphFont"/>
    <w:rsid w:val="0002355D"/>
  </w:style>
  <w:style w:type="paragraph" w:styleId="BalloonText">
    <w:name w:val="Balloon Text"/>
    <w:basedOn w:val="Normal"/>
    <w:link w:val="BalloonTextChar"/>
    <w:uiPriority w:val="99"/>
    <w:semiHidden/>
    <w:unhideWhenUsed/>
    <w:rsid w:val="00023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5D"/>
    <w:rPr>
      <w:rFonts w:ascii="Tahoma" w:eastAsiaTheme="minorEastAsia" w:hAnsi="Tahoma" w:cs="Tahoma"/>
      <w:sz w:val="16"/>
      <w:szCs w:val="16"/>
    </w:rPr>
  </w:style>
  <w:style w:type="table" w:customStyle="1" w:styleId="CVDetails1">
    <w:name w:val="CV Details1"/>
    <w:basedOn w:val="TableNormal"/>
    <w:rsid w:val="00CE170B"/>
    <w:pPr>
      <w:spacing w:after="0" w:line="240" w:lineRule="auto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75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63EF-3F51-4A8A-BE35-0D24A90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</dc:creator>
  <cp:keywords/>
  <dc:description/>
  <cp:lastModifiedBy>Sujatha</cp:lastModifiedBy>
  <cp:revision>36</cp:revision>
  <cp:lastPrinted>2018-06-25T07:15:00Z</cp:lastPrinted>
  <dcterms:created xsi:type="dcterms:W3CDTF">2018-04-27T05:01:00Z</dcterms:created>
  <dcterms:modified xsi:type="dcterms:W3CDTF">2018-06-25T07:32:00Z</dcterms:modified>
</cp:coreProperties>
</file>